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DF880" w14:textId="69F87FD8" w:rsidR="0046472A" w:rsidRPr="008377C1" w:rsidRDefault="003410B9">
      <w:pPr>
        <w:rPr>
          <w:rFonts w:ascii="ＭＳ ゴシック" w:eastAsia="ＭＳ ゴシック" w:hAnsi="ＭＳ ゴシック"/>
        </w:rPr>
      </w:pPr>
      <w:r w:rsidRPr="008377C1">
        <w:rPr>
          <w:rFonts w:ascii="ＭＳ ゴシック" w:eastAsia="ＭＳ ゴシック" w:hAnsi="ＭＳ ゴシック" w:hint="eastAsia"/>
        </w:rPr>
        <w:t>様式</w:t>
      </w:r>
      <w:r w:rsidR="00C42FCE">
        <w:rPr>
          <w:rFonts w:ascii="ＭＳ ゴシック" w:eastAsia="ＭＳ ゴシック" w:hAnsi="ＭＳ ゴシック" w:hint="eastAsia"/>
        </w:rPr>
        <w:t>７</w:t>
      </w:r>
    </w:p>
    <w:p w14:paraId="070342F6" w14:textId="77777777" w:rsidR="003410B9" w:rsidRPr="008377C1" w:rsidRDefault="003410B9" w:rsidP="00750483">
      <w:pPr>
        <w:jc w:val="center"/>
        <w:rPr>
          <w:rFonts w:ascii="ＭＳ ゴシック" w:eastAsia="ＭＳ ゴシック" w:hAnsi="ＭＳ ゴシック"/>
          <w:sz w:val="24"/>
        </w:rPr>
      </w:pPr>
      <w:r w:rsidRPr="008377C1">
        <w:rPr>
          <w:rFonts w:ascii="ＭＳ ゴシック" w:eastAsia="ＭＳ ゴシック" w:hAnsi="ＭＳ ゴシック" w:hint="eastAsia"/>
          <w:sz w:val="24"/>
        </w:rPr>
        <w:t>予期しない重篤な有害事象報告書</w:t>
      </w:r>
    </w:p>
    <w:p w14:paraId="232C8AFF" w14:textId="77777777" w:rsidR="00750483" w:rsidRPr="008377C1" w:rsidRDefault="00750483">
      <w:pPr>
        <w:rPr>
          <w:rFonts w:ascii="ＭＳ ゴシック" w:eastAsia="ＭＳ ゴシック" w:hAnsi="ＭＳ ゴシック"/>
        </w:rPr>
      </w:pPr>
    </w:p>
    <w:p w14:paraId="7EDD11E1" w14:textId="77777777" w:rsidR="003410B9" w:rsidRPr="008377C1" w:rsidRDefault="00664AC5" w:rsidP="00750483">
      <w:pPr>
        <w:jc w:val="right"/>
        <w:rPr>
          <w:rFonts w:ascii="ＭＳ ゴシック" w:eastAsia="ＭＳ ゴシック" w:hAnsi="ＭＳ ゴシック"/>
        </w:rPr>
      </w:pPr>
      <w:r>
        <w:rPr>
          <w:rFonts w:ascii="ＭＳ ゴシック" w:eastAsia="ＭＳ ゴシック" w:hAnsi="ＭＳ ゴシック" w:hint="eastAsia"/>
        </w:rPr>
        <w:t>令和</w:t>
      </w:r>
      <w:r w:rsidR="003410B9" w:rsidRPr="008377C1">
        <w:rPr>
          <w:rFonts w:ascii="ＭＳ ゴシック" w:eastAsia="ＭＳ ゴシック" w:hAnsi="ＭＳ ゴシック" w:hint="eastAsia"/>
        </w:rPr>
        <w:t xml:space="preserve">　　　年　　　月　　　日</w:t>
      </w:r>
    </w:p>
    <w:p w14:paraId="0203DC41" w14:textId="77777777" w:rsidR="00750483" w:rsidRPr="008377C1" w:rsidRDefault="00750483">
      <w:pPr>
        <w:rPr>
          <w:rFonts w:ascii="ＭＳ ゴシック" w:eastAsia="ＭＳ ゴシック" w:hAnsi="ＭＳ ゴシック"/>
        </w:rPr>
      </w:pPr>
    </w:p>
    <w:p w14:paraId="368BF865" w14:textId="77777777" w:rsidR="00D7169C" w:rsidRDefault="002D1883" w:rsidP="00D7169C">
      <w:pPr>
        <w:autoSpaceDE w:val="0"/>
        <w:autoSpaceDN w:val="0"/>
        <w:adjustRightInd w:val="0"/>
        <w:snapToGrid w:val="0"/>
        <w:ind w:firstLineChars="100" w:firstLine="222"/>
        <w:jc w:val="left"/>
        <w:rPr>
          <w:rFonts w:ascii="ＭＳ ゴシック" w:eastAsia="ＭＳ ゴシック" w:hAnsi="ＭＳ ゴシック"/>
          <w:szCs w:val="21"/>
        </w:rPr>
      </w:pPr>
      <w:r>
        <w:rPr>
          <w:rFonts w:ascii="ＭＳ ゴシック" w:eastAsia="ＭＳ ゴシック" w:hAnsi="ＭＳ ゴシック" w:hint="eastAsia"/>
          <w:szCs w:val="21"/>
        </w:rPr>
        <w:t>東京大学</w:t>
      </w:r>
      <w:r w:rsidRPr="00DD5BF6">
        <w:rPr>
          <w:rFonts w:ascii="ＭＳ ゴシック" w:eastAsia="ＭＳ ゴシック" w:hAnsi="ＭＳ ゴシック" w:hint="eastAsia"/>
          <w:szCs w:val="21"/>
        </w:rPr>
        <w:t>大学院薬学系研究科</w:t>
      </w:r>
    </w:p>
    <w:p w14:paraId="00D64CCF" w14:textId="616145FB" w:rsidR="002D1883" w:rsidRPr="00EB3923" w:rsidRDefault="009F4DA3" w:rsidP="00D7169C">
      <w:pPr>
        <w:autoSpaceDE w:val="0"/>
        <w:autoSpaceDN w:val="0"/>
        <w:adjustRightInd w:val="0"/>
        <w:snapToGrid w:val="0"/>
        <w:ind w:firstLineChars="100" w:firstLine="222"/>
        <w:jc w:val="left"/>
        <w:rPr>
          <w:rFonts w:ascii="ＭＳ ゴシック" w:eastAsia="ＭＳ ゴシック" w:hAnsi="ＭＳ ゴシック"/>
          <w:szCs w:val="21"/>
        </w:rPr>
      </w:pPr>
      <w:r>
        <w:rPr>
          <w:rFonts w:ascii="ＭＳ ゴシック" w:eastAsia="ＭＳ ゴシック" w:hAnsi="ＭＳ ゴシック" w:hint="eastAsia"/>
          <w:szCs w:val="21"/>
        </w:rPr>
        <w:t>人</w:t>
      </w:r>
      <w:r w:rsidR="002D1883" w:rsidRPr="00EB3923">
        <w:rPr>
          <w:rFonts w:ascii="ＭＳ ゴシック" w:eastAsia="ＭＳ ゴシック" w:hAnsi="ＭＳ ゴシック" w:hint="eastAsia"/>
          <w:szCs w:val="21"/>
        </w:rPr>
        <w:t>を対象とする研究倫理審査委員長　殿</w:t>
      </w:r>
    </w:p>
    <w:p w14:paraId="57D31FA7" w14:textId="77777777" w:rsidR="003410B9" w:rsidRPr="008377C1" w:rsidRDefault="003410B9">
      <w:pPr>
        <w:rPr>
          <w:rFonts w:ascii="ＭＳ ゴシック" w:eastAsia="ＭＳ ゴシック" w:hAnsi="ＭＳ ゴシック"/>
        </w:rPr>
      </w:pPr>
    </w:p>
    <w:p w14:paraId="597225AE" w14:textId="77777777" w:rsidR="003410B9" w:rsidRPr="008377C1" w:rsidRDefault="003410B9" w:rsidP="00750483">
      <w:pPr>
        <w:ind w:firstLineChars="100" w:firstLine="222"/>
        <w:rPr>
          <w:rFonts w:ascii="ＭＳ ゴシック" w:eastAsia="ＭＳ ゴシック" w:hAnsi="ＭＳ ゴシック"/>
        </w:rPr>
      </w:pPr>
      <w:r w:rsidRPr="008377C1">
        <w:rPr>
          <w:rFonts w:ascii="ＭＳ ゴシック" w:eastAsia="ＭＳ ゴシック" w:hAnsi="ＭＳ ゴシック" w:hint="eastAsia"/>
        </w:rPr>
        <w:t>以下の臨床研究に関連する予期しない重篤な有害事象について、下記の通り報告いたします。</w:t>
      </w:r>
    </w:p>
    <w:p w14:paraId="0B1C6027" w14:textId="77777777" w:rsidR="003410B9" w:rsidRPr="008377C1" w:rsidRDefault="003410B9">
      <w:pPr>
        <w:rPr>
          <w:rFonts w:ascii="ＭＳ ゴシック" w:eastAsia="ＭＳ ゴシック" w:hAnsi="ＭＳ ゴシック"/>
        </w:rPr>
      </w:pPr>
    </w:p>
    <w:p w14:paraId="5AA166C6" w14:textId="77777777" w:rsidR="003410B9" w:rsidRPr="008377C1" w:rsidRDefault="003410B9">
      <w:pPr>
        <w:rPr>
          <w:rFonts w:ascii="ＭＳ ゴシック" w:eastAsia="ＭＳ ゴシック" w:hAnsi="ＭＳ ゴシック"/>
        </w:rPr>
      </w:pPr>
    </w:p>
    <w:p w14:paraId="7CF09304" w14:textId="77777777" w:rsidR="003410B9" w:rsidRPr="008377C1" w:rsidRDefault="003410B9">
      <w:pPr>
        <w:rPr>
          <w:rFonts w:ascii="ＭＳ ゴシック" w:eastAsia="ＭＳ ゴシック" w:hAnsi="ＭＳ ゴシック"/>
        </w:rPr>
      </w:pPr>
      <w:r w:rsidRPr="008377C1">
        <w:rPr>
          <w:rFonts w:ascii="ＭＳ ゴシック" w:eastAsia="ＭＳ ゴシック" w:hAnsi="ＭＳ ゴシック" w:hint="eastAsia"/>
        </w:rPr>
        <w:t>１．報告者情報</w:t>
      </w:r>
    </w:p>
    <w:p w14:paraId="3444FF88" w14:textId="77777777" w:rsidR="003410B9" w:rsidRPr="008377C1" w:rsidRDefault="00EA551A">
      <w:pPr>
        <w:rPr>
          <w:rFonts w:ascii="ＭＳ ゴシック" w:eastAsia="ＭＳ ゴシック" w:hAnsi="ＭＳ ゴシック"/>
        </w:rPr>
      </w:pPr>
      <w:r w:rsidRPr="008377C1">
        <w:rPr>
          <w:rFonts w:ascii="ＭＳ ゴシック" w:eastAsia="ＭＳ ゴシック" w:hAnsi="ＭＳ ゴシック" w:hint="eastAsia"/>
        </w:rPr>
        <w:t xml:space="preserve">　　</w:t>
      </w:r>
      <w:r w:rsidR="003410B9" w:rsidRPr="008377C1">
        <w:rPr>
          <w:rFonts w:ascii="ＭＳ ゴシック" w:eastAsia="ＭＳ ゴシック" w:hAnsi="ＭＳ ゴシック" w:hint="eastAsia"/>
        </w:rPr>
        <w:t>（１）研究責任者名</w:t>
      </w:r>
    </w:p>
    <w:p w14:paraId="560BE0A4" w14:textId="77777777" w:rsidR="00EA551A" w:rsidRPr="008377C1" w:rsidRDefault="00EA551A">
      <w:pPr>
        <w:rPr>
          <w:rFonts w:ascii="ＭＳ ゴシック" w:eastAsia="ＭＳ ゴシック" w:hAnsi="ＭＳ ゴシック"/>
        </w:rPr>
      </w:pPr>
    </w:p>
    <w:p w14:paraId="20B5E46C" w14:textId="77777777" w:rsidR="003410B9" w:rsidRPr="008377C1" w:rsidRDefault="003410B9" w:rsidP="00EA551A">
      <w:pPr>
        <w:ind w:firstLineChars="200" w:firstLine="444"/>
        <w:rPr>
          <w:rFonts w:ascii="ＭＳ ゴシック" w:eastAsia="ＭＳ ゴシック" w:hAnsi="ＭＳ ゴシック"/>
        </w:rPr>
      </w:pPr>
      <w:r w:rsidRPr="008377C1">
        <w:rPr>
          <w:rFonts w:ascii="ＭＳ ゴシック" w:eastAsia="ＭＳ ゴシック" w:hAnsi="ＭＳ ゴシック" w:hint="eastAsia"/>
        </w:rPr>
        <w:t>（２）臨床研究課題名</w:t>
      </w:r>
    </w:p>
    <w:p w14:paraId="7D08CBD6" w14:textId="77777777" w:rsidR="00EA551A" w:rsidRPr="008377C1" w:rsidRDefault="00EA551A" w:rsidP="00EA551A">
      <w:pPr>
        <w:ind w:firstLineChars="200" w:firstLine="444"/>
        <w:rPr>
          <w:rFonts w:ascii="ＭＳ ゴシック" w:eastAsia="ＭＳ ゴシック" w:hAnsi="ＭＳ ゴシック"/>
        </w:rPr>
      </w:pPr>
    </w:p>
    <w:p w14:paraId="5580D151" w14:textId="77777777" w:rsidR="003410B9" w:rsidRPr="008377C1" w:rsidRDefault="003410B9" w:rsidP="00EA551A">
      <w:pPr>
        <w:ind w:firstLineChars="200" w:firstLine="444"/>
        <w:rPr>
          <w:rFonts w:ascii="ＭＳ ゴシック" w:eastAsia="ＭＳ ゴシック" w:hAnsi="ＭＳ ゴシック"/>
        </w:rPr>
      </w:pPr>
      <w:r w:rsidRPr="008377C1">
        <w:rPr>
          <w:rFonts w:ascii="ＭＳ ゴシック" w:eastAsia="ＭＳ ゴシック" w:hAnsi="ＭＳ ゴシック" w:hint="eastAsia"/>
        </w:rPr>
        <w:t>（３）臨床研究登録ＩＤ</w:t>
      </w:r>
    </w:p>
    <w:p w14:paraId="49EB04F0" w14:textId="77777777" w:rsidR="003410B9" w:rsidRPr="008377C1" w:rsidRDefault="003410B9" w:rsidP="00EA551A">
      <w:pPr>
        <w:spacing w:line="180" w:lineRule="exact"/>
        <w:ind w:leftChars="388" w:left="1205" w:hangingChars="200" w:hanging="344"/>
        <w:rPr>
          <w:rFonts w:ascii="ＭＳ ゴシック" w:eastAsia="ＭＳ ゴシック" w:hAnsi="ＭＳ ゴシック"/>
          <w:sz w:val="16"/>
          <w:szCs w:val="16"/>
        </w:rPr>
      </w:pPr>
      <w:r w:rsidRPr="008377C1">
        <w:rPr>
          <w:rFonts w:ascii="ＭＳ ゴシック" w:eastAsia="ＭＳ ゴシック" w:hAnsi="ＭＳ ゴシック" w:hint="eastAsia"/>
          <w:sz w:val="16"/>
          <w:szCs w:val="16"/>
        </w:rPr>
        <w:t>（※あらかじめ登録した臨床研究計画公開データベースより付与された登録ＩＤ等、臨床研究を特定するための固有の番号を記載する。当該臨床研究に係る報告は、関係する全ての研究機関において同じ番号を用いること。）</w:t>
      </w:r>
    </w:p>
    <w:p w14:paraId="58295655" w14:textId="77777777" w:rsidR="003410B9" w:rsidRPr="008377C1" w:rsidRDefault="003410B9" w:rsidP="00EA551A">
      <w:pPr>
        <w:ind w:firstLineChars="200" w:firstLine="444"/>
        <w:rPr>
          <w:rFonts w:ascii="ＭＳ ゴシック" w:eastAsia="ＭＳ ゴシック" w:hAnsi="ＭＳ ゴシック"/>
        </w:rPr>
      </w:pPr>
      <w:r w:rsidRPr="008377C1">
        <w:rPr>
          <w:rFonts w:ascii="ＭＳ ゴシック" w:eastAsia="ＭＳ ゴシック" w:hAnsi="ＭＳ ゴシック" w:hint="eastAsia"/>
        </w:rPr>
        <w:t>（４）連絡先</w:t>
      </w:r>
    </w:p>
    <w:p w14:paraId="44E1F157" w14:textId="77777777" w:rsidR="003410B9" w:rsidRPr="008377C1" w:rsidRDefault="003410B9" w:rsidP="00EA551A">
      <w:pPr>
        <w:ind w:firstLineChars="699" w:firstLine="1551"/>
        <w:rPr>
          <w:rFonts w:ascii="ＭＳ ゴシック" w:eastAsia="ＭＳ ゴシック" w:hAnsi="ＭＳ ゴシック"/>
        </w:rPr>
      </w:pPr>
      <w:r w:rsidRPr="008377C1">
        <w:rPr>
          <w:rFonts w:ascii="ＭＳ ゴシック" w:eastAsia="ＭＳ ゴシック" w:hAnsi="ＭＳ ゴシック" w:hint="eastAsia"/>
        </w:rPr>
        <w:t xml:space="preserve">TEL: </w:t>
      </w:r>
      <w:r w:rsidR="00EA551A" w:rsidRPr="008377C1">
        <w:rPr>
          <w:rFonts w:ascii="ＭＳ ゴシック" w:eastAsia="ＭＳ ゴシック" w:hAnsi="ＭＳ ゴシック" w:hint="eastAsia"/>
        </w:rPr>
        <w:t xml:space="preserve">　　　　　　　　　　　　　　　</w:t>
      </w:r>
      <w:r w:rsidRPr="008377C1">
        <w:rPr>
          <w:rFonts w:ascii="ＭＳ ゴシック" w:eastAsia="ＭＳ ゴシック" w:hAnsi="ＭＳ ゴシック" w:hint="eastAsia"/>
        </w:rPr>
        <w:t>FAX:</w:t>
      </w:r>
    </w:p>
    <w:p w14:paraId="2AF4771D" w14:textId="77777777" w:rsidR="003410B9" w:rsidRPr="008377C1" w:rsidRDefault="003410B9" w:rsidP="00EA551A">
      <w:pPr>
        <w:ind w:firstLineChars="699" w:firstLine="1551"/>
        <w:rPr>
          <w:rFonts w:ascii="ＭＳ ゴシック" w:eastAsia="ＭＳ ゴシック" w:hAnsi="ＭＳ ゴシック"/>
        </w:rPr>
      </w:pPr>
      <w:r w:rsidRPr="008377C1">
        <w:rPr>
          <w:rFonts w:ascii="ＭＳ ゴシック" w:eastAsia="ＭＳ ゴシック" w:hAnsi="ＭＳ ゴシック" w:hint="eastAsia"/>
        </w:rPr>
        <w:t xml:space="preserve">e-mail: </w:t>
      </w:r>
    </w:p>
    <w:p w14:paraId="7F8A6B93" w14:textId="77777777" w:rsidR="003410B9" w:rsidRPr="008377C1" w:rsidRDefault="003410B9">
      <w:pPr>
        <w:rPr>
          <w:rFonts w:ascii="ＭＳ ゴシック" w:eastAsia="ＭＳ ゴシック" w:hAnsi="ＭＳ ゴシック"/>
        </w:rPr>
      </w:pPr>
    </w:p>
    <w:p w14:paraId="7C4DD0A6" w14:textId="77777777" w:rsidR="003410B9" w:rsidRPr="008377C1" w:rsidRDefault="003410B9">
      <w:pPr>
        <w:rPr>
          <w:rFonts w:ascii="ＭＳ ゴシック" w:eastAsia="ＭＳ ゴシック" w:hAnsi="ＭＳ ゴシック"/>
        </w:rPr>
      </w:pPr>
      <w:r w:rsidRPr="008377C1">
        <w:rPr>
          <w:rFonts w:ascii="ＭＳ ゴシック" w:eastAsia="ＭＳ ゴシック" w:hAnsi="ＭＳ ゴシック" w:hint="eastAsia"/>
        </w:rPr>
        <w:t>２．報告内容</w:t>
      </w:r>
    </w:p>
    <w:p w14:paraId="504A6006" w14:textId="77777777" w:rsidR="00DB02F8" w:rsidRPr="008377C1" w:rsidRDefault="003410B9" w:rsidP="00EA551A">
      <w:pPr>
        <w:ind w:firstLineChars="200" w:firstLine="444"/>
        <w:rPr>
          <w:rFonts w:ascii="ＭＳ ゴシック" w:eastAsia="ＭＳ ゴシック" w:hAnsi="ＭＳ ゴシック"/>
        </w:rPr>
      </w:pPr>
      <w:r w:rsidRPr="008377C1">
        <w:rPr>
          <w:rFonts w:ascii="ＭＳ ゴシック" w:eastAsia="ＭＳ ゴシック" w:hAnsi="ＭＳ ゴシック" w:hint="eastAsia"/>
        </w:rPr>
        <w:t>（１）</w:t>
      </w:r>
      <w:r w:rsidR="00EA551A" w:rsidRPr="008377C1">
        <w:rPr>
          <w:rFonts w:ascii="ＭＳ ゴシック" w:eastAsia="ＭＳ ゴシック" w:hAnsi="ＭＳ ゴシック" w:hint="eastAsia"/>
        </w:rPr>
        <w:t xml:space="preserve">発生機関　　　</w:t>
      </w:r>
      <w:r w:rsidRPr="008377C1">
        <w:rPr>
          <w:rFonts w:ascii="ＭＳ ゴシック" w:eastAsia="ＭＳ ゴシック" w:hAnsi="ＭＳ ゴシック" w:hint="eastAsia"/>
        </w:rPr>
        <w:t xml:space="preserve">　</w:t>
      </w:r>
    </w:p>
    <w:p w14:paraId="5052996D" w14:textId="77777777" w:rsidR="00DB02F8" w:rsidRPr="008377C1" w:rsidRDefault="003410B9" w:rsidP="00DB02F8">
      <w:pPr>
        <w:ind w:firstLineChars="600" w:firstLine="1331"/>
        <w:rPr>
          <w:rFonts w:ascii="ＭＳ ゴシック" w:eastAsia="ＭＳ ゴシック" w:hAnsi="ＭＳ ゴシック"/>
        </w:rPr>
      </w:pPr>
      <w:r w:rsidRPr="008377C1">
        <w:rPr>
          <w:rFonts w:ascii="ＭＳ ゴシック" w:eastAsia="ＭＳ ゴシック" w:hAnsi="ＭＳ ゴシック" w:hint="eastAsia"/>
        </w:rPr>
        <w:t xml:space="preserve">□自施設　　</w:t>
      </w:r>
    </w:p>
    <w:p w14:paraId="0BD4BCDF" w14:textId="77777777" w:rsidR="003410B9" w:rsidRPr="008377C1" w:rsidRDefault="003410B9" w:rsidP="00DB02F8">
      <w:pPr>
        <w:ind w:firstLineChars="600" w:firstLine="1331"/>
        <w:rPr>
          <w:rFonts w:ascii="ＭＳ ゴシック" w:eastAsia="ＭＳ ゴシック" w:hAnsi="ＭＳ ゴシック"/>
        </w:rPr>
      </w:pPr>
      <w:r w:rsidRPr="008377C1">
        <w:rPr>
          <w:rFonts w:ascii="ＭＳ ゴシック" w:eastAsia="ＭＳ ゴシック" w:hAnsi="ＭＳ ゴシック" w:hint="eastAsia"/>
        </w:rPr>
        <w:t>□他の共同臨床研究機関（機関名：）</w:t>
      </w:r>
    </w:p>
    <w:p w14:paraId="7B5E7B6B" w14:textId="77777777" w:rsidR="00DB02F8" w:rsidRPr="008377C1" w:rsidRDefault="00DB02F8" w:rsidP="00DB02F8">
      <w:pPr>
        <w:ind w:firstLineChars="200" w:firstLine="444"/>
        <w:rPr>
          <w:rFonts w:ascii="ＭＳ ゴシック" w:eastAsia="ＭＳ ゴシック" w:hAnsi="ＭＳ ゴシック"/>
        </w:rPr>
      </w:pPr>
      <w:r w:rsidRPr="008377C1">
        <w:rPr>
          <w:rFonts w:ascii="ＭＳ ゴシック" w:eastAsia="ＭＳ ゴシック" w:hAnsi="ＭＳ ゴシック" w:hint="eastAsia"/>
        </w:rPr>
        <w:t xml:space="preserve">　　　　　　※厚生労働大臣への報告：　　要　・　不要</w:t>
      </w:r>
    </w:p>
    <w:p w14:paraId="72B1B1DA" w14:textId="77777777" w:rsidR="00DB02F8" w:rsidRPr="008377C1" w:rsidRDefault="00DB02F8" w:rsidP="00EA551A">
      <w:pPr>
        <w:ind w:firstLineChars="200" w:firstLine="444"/>
        <w:rPr>
          <w:rFonts w:ascii="ＭＳ ゴシック" w:eastAsia="ＭＳ ゴシック" w:hAnsi="ＭＳ ゴシック"/>
        </w:rPr>
      </w:pPr>
    </w:p>
    <w:p w14:paraId="2600ED4F" w14:textId="77777777" w:rsidR="003410B9" w:rsidRPr="008377C1" w:rsidRDefault="003410B9" w:rsidP="00EA551A">
      <w:pPr>
        <w:spacing w:line="240" w:lineRule="exact"/>
        <w:ind w:firstLineChars="200" w:firstLine="444"/>
        <w:rPr>
          <w:rFonts w:ascii="ＭＳ ゴシック" w:eastAsia="ＭＳ ゴシック" w:hAnsi="ＭＳ ゴシック"/>
        </w:rPr>
      </w:pPr>
      <w:r w:rsidRPr="008377C1">
        <w:rPr>
          <w:rFonts w:ascii="ＭＳ ゴシック" w:eastAsia="ＭＳ ゴシック" w:hAnsi="ＭＳ ゴシック" w:hint="eastAsia"/>
        </w:rPr>
        <w:t>（２）重篤な有害事象名・経過</w:t>
      </w:r>
    </w:p>
    <w:p w14:paraId="0C9CC5F2" w14:textId="77777777" w:rsidR="00EA551A" w:rsidRPr="008377C1" w:rsidRDefault="003410B9" w:rsidP="00EA551A">
      <w:pPr>
        <w:spacing w:line="240" w:lineRule="exact"/>
        <w:ind w:firstLineChars="500" w:firstLine="960"/>
        <w:rPr>
          <w:rFonts w:ascii="ＭＳ ゴシック" w:eastAsia="ＭＳ ゴシック" w:hAnsi="ＭＳ ゴシック"/>
          <w:sz w:val="18"/>
          <w:szCs w:val="18"/>
        </w:rPr>
      </w:pPr>
      <w:r w:rsidRPr="008377C1">
        <w:rPr>
          <w:rFonts w:ascii="ＭＳ ゴシック" w:eastAsia="ＭＳ ゴシック" w:hAnsi="ＭＳ ゴシック" w:hint="eastAsia"/>
          <w:sz w:val="18"/>
          <w:szCs w:val="18"/>
        </w:rPr>
        <w:t>（発生日、重篤と判断した理由、介入の内容と因果関係、経過、転帰等を簡潔に記入）</w:t>
      </w:r>
    </w:p>
    <w:p w14:paraId="75628B02" w14:textId="77777777" w:rsidR="00EA551A" w:rsidRPr="008377C1" w:rsidRDefault="00EA551A" w:rsidP="00EA551A">
      <w:pPr>
        <w:rPr>
          <w:rFonts w:ascii="ＭＳ ゴシック" w:eastAsia="ＭＳ ゴシック" w:hAnsi="ＭＳ ゴシック"/>
          <w:sz w:val="18"/>
          <w:szCs w:val="18"/>
        </w:rPr>
      </w:pPr>
    </w:p>
    <w:p w14:paraId="091FF1A4" w14:textId="77777777" w:rsidR="00EA551A" w:rsidRPr="008377C1" w:rsidRDefault="00EA551A" w:rsidP="00EA551A">
      <w:pPr>
        <w:rPr>
          <w:rFonts w:ascii="ＭＳ ゴシック" w:eastAsia="ＭＳ ゴシック" w:hAnsi="ＭＳ ゴシック"/>
          <w:sz w:val="18"/>
          <w:szCs w:val="18"/>
        </w:rPr>
      </w:pPr>
    </w:p>
    <w:p w14:paraId="2985DC86" w14:textId="77777777" w:rsidR="00EA551A" w:rsidRPr="008377C1" w:rsidRDefault="00EA551A" w:rsidP="00EA551A">
      <w:pPr>
        <w:rPr>
          <w:rFonts w:ascii="ＭＳ ゴシック" w:eastAsia="ＭＳ ゴシック" w:hAnsi="ＭＳ ゴシック"/>
          <w:sz w:val="18"/>
          <w:szCs w:val="18"/>
        </w:rPr>
      </w:pPr>
    </w:p>
    <w:p w14:paraId="0F69C026" w14:textId="77777777" w:rsidR="00EA551A" w:rsidRPr="008377C1" w:rsidRDefault="00EA551A" w:rsidP="00EA551A">
      <w:pPr>
        <w:rPr>
          <w:rFonts w:ascii="ＭＳ ゴシック" w:eastAsia="ＭＳ ゴシック" w:hAnsi="ＭＳ ゴシック"/>
          <w:sz w:val="18"/>
          <w:szCs w:val="18"/>
        </w:rPr>
      </w:pPr>
    </w:p>
    <w:p w14:paraId="66FD1F82" w14:textId="77777777" w:rsidR="003410B9" w:rsidRPr="008377C1" w:rsidRDefault="003410B9" w:rsidP="00EA551A">
      <w:pPr>
        <w:spacing w:line="240" w:lineRule="exact"/>
        <w:ind w:firstLineChars="200" w:firstLine="444"/>
        <w:rPr>
          <w:rFonts w:ascii="ＭＳ ゴシック" w:eastAsia="ＭＳ ゴシック" w:hAnsi="ＭＳ ゴシック"/>
        </w:rPr>
      </w:pPr>
      <w:r w:rsidRPr="008377C1">
        <w:rPr>
          <w:rFonts w:ascii="ＭＳ ゴシック" w:eastAsia="ＭＳ ゴシック" w:hAnsi="ＭＳ ゴシック" w:hint="eastAsia"/>
        </w:rPr>
        <w:t>（３）重篤な有害事象に対する措置</w:t>
      </w:r>
    </w:p>
    <w:p w14:paraId="17AEB6CA" w14:textId="77777777" w:rsidR="003410B9" w:rsidRPr="008377C1" w:rsidRDefault="00EA551A" w:rsidP="00EA551A">
      <w:pPr>
        <w:spacing w:line="240" w:lineRule="exact"/>
        <w:ind w:firstLineChars="500" w:firstLine="960"/>
        <w:rPr>
          <w:rFonts w:ascii="ＭＳ ゴシック" w:eastAsia="ＭＳ ゴシック" w:hAnsi="ＭＳ ゴシック"/>
          <w:sz w:val="18"/>
          <w:szCs w:val="18"/>
        </w:rPr>
      </w:pPr>
      <w:r w:rsidRPr="008377C1">
        <w:rPr>
          <w:rFonts w:ascii="ＭＳ ゴシック" w:eastAsia="ＭＳ ゴシック" w:hAnsi="ＭＳ ゴシック" w:hint="eastAsia"/>
          <w:sz w:val="18"/>
          <w:szCs w:val="18"/>
        </w:rPr>
        <w:t>（</w:t>
      </w:r>
      <w:r w:rsidR="003410B9" w:rsidRPr="008377C1">
        <w:rPr>
          <w:rFonts w:ascii="ＭＳ ゴシック" w:eastAsia="ＭＳ ゴシック" w:hAnsi="ＭＳ ゴシック" w:hint="eastAsia"/>
          <w:sz w:val="18"/>
          <w:szCs w:val="18"/>
        </w:rPr>
        <w:t>新規登録の中断、説明同意文書の改訂、他の被験者への再同意等）</w:t>
      </w:r>
    </w:p>
    <w:p w14:paraId="24A720D3" w14:textId="77777777" w:rsidR="00EA551A" w:rsidRPr="008377C1" w:rsidRDefault="00EA551A">
      <w:pPr>
        <w:rPr>
          <w:rFonts w:ascii="ＭＳ ゴシック" w:eastAsia="ＭＳ ゴシック" w:hAnsi="ＭＳ ゴシック"/>
        </w:rPr>
      </w:pPr>
    </w:p>
    <w:p w14:paraId="3AA31665" w14:textId="77777777" w:rsidR="00EA551A" w:rsidRPr="008377C1" w:rsidRDefault="00EA551A">
      <w:pPr>
        <w:rPr>
          <w:rFonts w:ascii="ＭＳ ゴシック" w:eastAsia="ＭＳ ゴシック" w:hAnsi="ＭＳ ゴシック"/>
        </w:rPr>
      </w:pPr>
    </w:p>
    <w:p w14:paraId="754638DD" w14:textId="77777777" w:rsidR="00EA551A" w:rsidRPr="008377C1" w:rsidRDefault="00EA551A">
      <w:pPr>
        <w:rPr>
          <w:rFonts w:ascii="ＭＳ ゴシック" w:eastAsia="ＭＳ ゴシック" w:hAnsi="ＭＳ ゴシック"/>
        </w:rPr>
      </w:pPr>
    </w:p>
    <w:p w14:paraId="22006063" w14:textId="77777777" w:rsidR="00EA551A" w:rsidRPr="008377C1" w:rsidRDefault="00EA551A">
      <w:pPr>
        <w:rPr>
          <w:rFonts w:ascii="ＭＳ ゴシック" w:eastAsia="ＭＳ ゴシック" w:hAnsi="ＭＳ ゴシック"/>
        </w:rPr>
      </w:pPr>
    </w:p>
    <w:p w14:paraId="037E713D" w14:textId="77777777" w:rsidR="003410B9" w:rsidRPr="008377C1" w:rsidRDefault="003410B9" w:rsidP="00EA551A">
      <w:pPr>
        <w:ind w:firstLineChars="200" w:firstLine="444"/>
        <w:rPr>
          <w:rFonts w:ascii="ＭＳ ゴシック" w:eastAsia="ＭＳ ゴシック" w:hAnsi="ＭＳ ゴシック"/>
        </w:rPr>
      </w:pPr>
      <w:r w:rsidRPr="008377C1">
        <w:rPr>
          <w:rFonts w:ascii="ＭＳ ゴシック" w:eastAsia="ＭＳ ゴシック" w:hAnsi="ＭＳ ゴシック" w:hint="eastAsia"/>
        </w:rPr>
        <w:t>（４）報告が必要な共同臨床研究機関と担当者名</w:t>
      </w:r>
      <w:r w:rsidR="00DB02F8" w:rsidRPr="008377C1">
        <w:rPr>
          <w:rFonts w:ascii="ＭＳ ゴシック" w:eastAsia="ＭＳ ゴシック" w:hAnsi="ＭＳ ゴシック" w:hint="eastAsia"/>
        </w:rPr>
        <w:t>（発生機関が自施設の場合）</w:t>
      </w:r>
    </w:p>
    <w:p w14:paraId="24CAD846" w14:textId="77777777" w:rsidR="00EA551A" w:rsidRPr="008377C1" w:rsidRDefault="00EA551A" w:rsidP="00EA551A">
      <w:pPr>
        <w:rPr>
          <w:rFonts w:ascii="ＭＳ ゴシック" w:eastAsia="ＭＳ ゴシック" w:hAnsi="ＭＳ ゴシック"/>
        </w:rPr>
      </w:pPr>
    </w:p>
    <w:p w14:paraId="14D7C83A" w14:textId="77777777" w:rsidR="00EA551A" w:rsidRPr="008377C1" w:rsidRDefault="00EA551A" w:rsidP="00EA551A">
      <w:pPr>
        <w:rPr>
          <w:rFonts w:ascii="ＭＳ ゴシック" w:eastAsia="ＭＳ ゴシック" w:hAnsi="ＭＳ ゴシック"/>
        </w:rPr>
      </w:pPr>
    </w:p>
    <w:p w14:paraId="352927E5" w14:textId="622E5F6F" w:rsidR="00EA551A" w:rsidRPr="008377C1" w:rsidRDefault="00EA551A" w:rsidP="00EA551A">
      <w:pPr>
        <w:rPr>
          <w:rFonts w:ascii="ＭＳ ゴシック" w:eastAsia="ＭＳ ゴシック" w:hAnsi="ＭＳ ゴシック"/>
        </w:rPr>
      </w:pPr>
    </w:p>
    <w:p w14:paraId="0A3DEE9B" w14:textId="77777777" w:rsidR="002D1883" w:rsidRPr="008377C1" w:rsidRDefault="002D1883" w:rsidP="00EA551A">
      <w:pPr>
        <w:rPr>
          <w:rFonts w:ascii="ＭＳ ゴシック" w:eastAsia="ＭＳ ゴシック" w:hAnsi="ＭＳ ゴシック"/>
        </w:rPr>
      </w:pPr>
    </w:p>
    <w:p w14:paraId="342BBCE4" w14:textId="77777777" w:rsidR="00EA551A" w:rsidRPr="008377C1" w:rsidRDefault="00EA551A" w:rsidP="00EA551A">
      <w:pPr>
        <w:rPr>
          <w:rFonts w:ascii="ＭＳ ゴシック" w:eastAsia="ＭＳ ゴシック" w:hAnsi="ＭＳ ゴシック"/>
        </w:rPr>
      </w:pPr>
    </w:p>
    <w:p w14:paraId="0CFA3459" w14:textId="77777777" w:rsidR="00EA551A" w:rsidRPr="008377C1" w:rsidRDefault="00DB02F8" w:rsidP="00DB02F8">
      <w:pPr>
        <w:numPr>
          <w:ilvl w:val="0"/>
          <w:numId w:val="1"/>
        </w:numPr>
        <w:rPr>
          <w:rFonts w:ascii="ＭＳ ゴシック" w:eastAsia="ＭＳ ゴシック" w:hAnsi="ＭＳ ゴシック"/>
          <w:sz w:val="18"/>
          <w:szCs w:val="18"/>
        </w:rPr>
      </w:pPr>
      <w:r w:rsidRPr="008377C1">
        <w:rPr>
          <w:rFonts w:ascii="ＭＳ ゴシック" w:eastAsia="ＭＳ ゴシック" w:hAnsi="ＭＳ ゴシック" w:hint="eastAsia"/>
          <w:sz w:val="18"/>
          <w:szCs w:val="18"/>
        </w:rPr>
        <w:lastRenderedPageBreak/>
        <w:t>他の共同臨床研究機関から情報提供を受けた場合も報告が必要です。</w:t>
      </w:r>
    </w:p>
    <w:p w14:paraId="75B6F2AD" w14:textId="77777777" w:rsidR="00894F25" w:rsidRPr="008377C1" w:rsidRDefault="00894F25" w:rsidP="00894F25">
      <w:pPr>
        <w:numPr>
          <w:ilvl w:val="0"/>
          <w:numId w:val="1"/>
        </w:numPr>
        <w:autoSpaceDE w:val="0"/>
        <w:autoSpaceDN w:val="0"/>
        <w:adjustRightInd w:val="0"/>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重篤な有害事象の定義、考え方について</w:t>
      </w:r>
    </w:p>
    <w:p w14:paraId="0688C778" w14:textId="77777777" w:rsidR="00894F25" w:rsidRPr="008377C1" w:rsidRDefault="00894F25" w:rsidP="00894F25">
      <w:pPr>
        <w:autoSpaceDE w:val="0"/>
        <w:autoSpaceDN w:val="0"/>
        <w:adjustRightInd w:val="0"/>
        <w:ind w:left="360"/>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（「医政研発第1226002号平成20年12月26日 臨床研究に関する倫理指針質疑応答集(Q&amp;A)の周知について」より抜粋）</w:t>
      </w:r>
    </w:p>
    <w:p w14:paraId="4858FA5E" w14:textId="77777777" w:rsidR="00894F25" w:rsidRPr="008377C1" w:rsidRDefault="00894F25" w:rsidP="00894F25">
      <w:pPr>
        <w:autoSpaceDE w:val="0"/>
        <w:autoSpaceDN w:val="0"/>
        <w:adjustRightInd w:val="0"/>
        <w:ind w:firstLineChars="100" w:firstLine="193"/>
        <w:jc w:val="left"/>
        <w:rPr>
          <w:rFonts w:ascii="ＭＳ ゴシック" w:eastAsia="ＭＳ ゴシック" w:hAnsi="ＭＳ ゴシック" w:cs="MS-PMincho"/>
          <w:b/>
          <w:kern w:val="0"/>
          <w:sz w:val="18"/>
          <w:szCs w:val="18"/>
        </w:rPr>
      </w:pPr>
      <w:r w:rsidRPr="008377C1">
        <w:rPr>
          <w:rFonts w:ascii="ＭＳ ゴシック" w:eastAsia="ＭＳ ゴシック" w:hAnsi="ＭＳ ゴシック" w:cs="MS-PMincho" w:hint="eastAsia"/>
          <w:b/>
          <w:kern w:val="0"/>
          <w:sz w:val="18"/>
          <w:szCs w:val="18"/>
        </w:rPr>
        <w:t>①重篤な有害事象</w:t>
      </w:r>
    </w:p>
    <w:p w14:paraId="1889D5B2" w14:textId="77777777" w:rsidR="00894F25" w:rsidRPr="008377C1" w:rsidRDefault="00894F25" w:rsidP="001F15AB">
      <w:pPr>
        <w:autoSpaceDE w:val="0"/>
        <w:autoSpaceDN w:val="0"/>
        <w:adjustRightInd w:val="0"/>
        <w:ind w:firstLineChars="300" w:firstLine="57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有害事象の定義については、治験に関する</w:t>
      </w:r>
      <w:r w:rsidRPr="008377C1">
        <w:rPr>
          <w:rFonts w:ascii="ＭＳ ゴシック" w:eastAsia="ＭＳ ゴシック" w:hAnsi="ＭＳ ゴシック"/>
          <w:kern w:val="0"/>
          <w:sz w:val="18"/>
          <w:szCs w:val="18"/>
        </w:rPr>
        <w:t>ICH</w:t>
      </w:r>
      <w:r w:rsidRPr="008377C1">
        <w:rPr>
          <w:rFonts w:ascii="ＭＳ ゴシック" w:eastAsia="ＭＳ ゴシック" w:hAnsi="ＭＳ ゴシック" w:cs="MS-PMincho" w:hint="eastAsia"/>
          <w:kern w:val="0"/>
          <w:sz w:val="18"/>
          <w:szCs w:val="18"/>
        </w:rPr>
        <w:t>のガイドラインにおける次のような定義を参考にします。</w:t>
      </w:r>
    </w:p>
    <w:p w14:paraId="7AD7D691" w14:textId="77777777" w:rsidR="00894F25" w:rsidRPr="008377C1" w:rsidRDefault="00894F25" w:rsidP="00894F25">
      <w:pPr>
        <w:autoSpaceDE w:val="0"/>
        <w:autoSpaceDN w:val="0"/>
        <w:adjustRightInd w:val="0"/>
        <w:ind w:leftChars="173" w:left="384"/>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医薬品が投与された患者または被験者に生じたあらゆる好ましくない医療上のできごと。必ずしも当該医薬品の投与との因果関係が明らかなもののみを示すものではない。つまり有害事象とは、医薬品が投与された際に起こる、あらゆる好ましくない、あるいは意図しない徴侯（臨床検査値の異常を含む）、症状、または病気のことであり、当該医薬品との因果関係の有無は問わない。」（「治験中に得られる安全性情報の取り扱いについて」平成</w:t>
      </w:r>
      <w:r w:rsidRPr="008377C1">
        <w:rPr>
          <w:rFonts w:ascii="ＭＳ ゴシック" w:eastAsia="ＭＳ ゴシック" w:hAnsi="ＭＳ ゴシック"/>
          <w:kern w:val="0"/>
          <w:sz w:val="18"/>
          <w:szCs w:val="18"/>
        </w:rPr>
        <w:t>7</w:t>
      </w:r>
      <w:r w:rsidRPr="008377C1">
        <w:rPr>
          <w:rFonts w:ascii="ＭＳ ゴシック" w:eastAsia="ＭＳ ゴシック" w:hAnsi="ＭＳ ゴシック" w:cs="MS-PMincho" w:hint="eastAsia"/>
          <w:kern w:val="0"/>
          <w:sz w:val="18"/>
          <w:szCs w:val="18"/>
        </w:rPr>
        <w:t>年</w:t>
      </w:r>
      <w:r w:rsidRPr="008377C1">
        <w:rPr>
          <w:rFonts w:ascii="ＭＳ ゴシック" w:eastAsia="ＭＳ ゴシック" w:hAnsi="ＭＳ ゴシック"/>
          <w:kern w:val="0"/>
          <w:sz w:val="18"/>
          <w:szCs w:val="18"/>
        </w:rPr>
        <w:t>3</w:t>
      </w:r>
      <w:r w:rsidRPr="008377C1">
        <w:rPr>
          <w:rFonts w:ascii="ＭＳ ゴシック" w:eastAsia="ＭＳ ゴシック" w:hAnsi="ＭＳ ゴシック" w:cs="MS-PMincho" w:hint="eastAsia"/>
          <w:kern w:val="0"/>
          <w:sz w:val="18"/>
          <w:szCs w:val="18"/>
        </w:rPr>
        <w:t>月</w:t>
      </w:r>
      <w:r w:rsidRPr="008377C1">
        <w:rPr>
          <w:rFonts w:ascii="ＭＳ ゴシック" w:eastAsia="ＭＳ ゴシック" w:hAnsi="ＭＳ ゴシック"/>
          <w:kern w:val="0"/>
          <w:sz w:val="18"/>
          <w:szCs w:val="18"/>
        </w:rPr>
        <w:t>20</w:t>
      </w:r>
      <w:r w:rsidRPr="008377C1">
        <w:rPr>
          <w:rFonts w:ascii="ＭＳ ゴシック" w:eastAsia="ＭＳ ゴシック" w:hAnsi="ＭＳ ゴシック" w:cs="MS-PMincho" w:hint="eastAsia"/>
          <w:kern w:val="0"/>
          <w:sz w:val="18"/>
          <w:szCs w:val="18"/>
        </w:rPr>
        <w:t>日薬審</w:t>
      </w:r>
      <w:r w:rsidRPr="008377C1">
        <w:rPr>
          <w:rFonts w:ascii="ＭＳ ゴシック" w:eastAsia="ＭＳ ゴシック" w:hAnsi="ＭＳ ゴシック"/>
          <w:kern w:val="0"/>
          <w:sz w:val="18"/>
          <w:szCs w:val="18"/>
        </w:rPr>
        <w:t>227</w:t>
      </w:r>
      <w:r w:rsidRPr="008377C1">
        <w:rPr>
          <w:rFonts w:ascii="ＭＳ ゴシック" w:eastAsia="ＭＳ ゴシック" w:hAnsi="ＭＳ ゴシック" w:cs="MS-PMincho" w:hint="eastAsia"/>
          <w:kern w:val="0"/>
          <w:sz w:val="18"/>
          <w:szCs w:val="18"/>
        </w:rPr>
        <w:t>号厚生省薬務局審査課長通知）ただし、薬物等を投与しない介入研究の場合には、「医薬品」を「介入」に読み替えて対応いただきたいと思います。</w:t>
      </w:r>
    </w:p>
    <w:p w14:paraId="454F6EC3" w14:textId="77777777" w:rsidR="00894F25" w:rsidRPr="008377C1" w:rsidRDefault="00894F25" w:rsidP="001F15AB">
      <w:pPr>
        <w:autoSpaceDE w:val="0"/>
        <w:autoSpaceDN w:val="0"/>
        <w:adjustRightInd w:val="0"/>
        <w:ind w:leftChars="173" w:left="384" w:firstLineChars="100" w:firstLine="192"/>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kern w:val="0"/>
          <w:sz w:val="18"/>
          <w:szCs w:val="18"/>
        </w:rPr>
        <w:t xml:space="preserve">ICH </w:t>
      </w:r>
      <w:r w:rsidRPr="008377C1">
        <w:rPr>
          <w:rFonts w:ascii="ＭＳ ゴシック" w:eastAsia="ＭＳ ゴシック" w:hAnsi="ＭＳ ゴシック" w:cs="MS-PMincho" w:hint="eastAsia"/>
          <w:kern w:val="0"/>
          <w:sz w:val="18"/>
          <w:szCs w:val="18"/>
        </w:rPr>
        <w:t>のガイドラインの定義においても、重篤な有害事象または副作用とは、医薬品が投与された（投与量にかかわらない）際に生じたあらゆる好ましくない医療上のできごとのうち、以下のものを言うと定義されています。</w:t>
      </w:r>
    </w:p>
    <w:p w14:paraId="135912DF" w14:textId="77777777" w:rsidR="00894F25" w:rsidRPr="008377C1" w:rsidRDefault="00894F25" w:rsidP="00894F25">
      <w:pPr>
        <w:autoSpaceDE w:val="0"/>
        <w:autoSpaceDN w:val="0"/>
        <w:adjustRightInd w:val="0"/>
        <w:ind w:firstLineChars="300" w:firstLine="57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kern w:val="0"/>
          <w:sz w:val="18"/>
          <w:szCs w:val="18"/>
        </w:rPr>
        <w:t>a</w:t>
      </w:r>
      <w:r w:rsidRPr="008377C1">
        <w:rPr>
          <w:rFonts w:ascii="ＭＳ ゴシック" w:eastAsia="ＭＳ ゴシック" w:hAnsi="ＭＳ ゴシック" w:cs="MS-PMincho" w:hint="eastAsia"/>
          <w:kern w:val="0"/>
          <w:sz w:val="18"/>
          <w:szCs w:val="18"/>
        </w:rPr>
        <w:t>．死に至るもの</w:t>
      </w:r>
    </w:p>
    <w:p w14:paraId="5B35BB4B" w14:textId="77777777" w:rsidR="00894F25" w:rsidRPr="008377C1" w:rsidRDefault="00894F25" w:rsidP="00894F25">
      <w:pPr>
        <w:autoSpaceDE w:val="0"/>
        <w:autoSpaceDN w:val="0"/>
        <w:adjustRightInd w:val="0"/>
        <w:ind w:firstLineChars="300" w:firstLine="57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kern w:val="0"/>
          <w:sz w:val="18"/>
          <w:szCs w:val="18"/>
        </w:rPr>
        <w:t>b</w:t>
      </w:r>
      <w:r w:rsidRPr="008377C1">
        <w:rPr>
          <w:rFonts w:ascii="ＭＳ ゴシック" w:eastAsia="ＭＳ ゴシック" w:hAnsi="ＭＳ ゴシック" w:cs="MS-PMincho" w:hint="eastAsia"/>
          <w:kern w:val="0"/>
          <w:sz w:val="18"/>
          <w:szCs w:val="18"/>
        </w:rPr>
        <w:t>．生命を脅かすもの</w:t>
      </w:r>
    </w:p>
    <w:p w14:paraId="375F149F" w14:textId="77777777" w:rsidR="00894F25" w:rsidRPr="008377C1" w:rsidRDefault="00894F25" w:rsidP="00894F25">
      <w:pPr>
        <w:autoSpaceDE w:val="0"/>
        <w:autoSpaceDN w:val="0"/>
        <w:adjustRightInd w:val="0"/>
        <w:ind w:firstLineChars="300" w:firstLine="57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kern w:val="0"/>
          <w:sz w:val="18"/>
          <w:szCs w:val="18"/>
        </w:rPr>
        <w:t>c</w:t>
      </w:r>
      <w:r w:rsidRPr="008377C1">
        <w:rPr>
          <w:rFonts w:ascii="ＭＳ ゴシック" w:eastAsia="ＭＳ ゴシック" w:hAnsi="ＭＳ ゴシック" w:cs="MS-PMincho" w:hint="eastAsia"/>
          <w:kern w:val="0"/>
          <w:sz w:val="18"/>
          <w:szCs w:val="18"/>
        </w:rPr>
        <w:t>．治療のため入院または入院期間の延長が必要となるもの</w:t>
      </w:r>
    </w:p>
    <w:p w14:paraId="55A6F293" w14:textId="77777777" w:rsidR="00894F25" w:rsidRPr="008377C1" w:rsidRDefault="00894F25" w:rsidP="00894F25">
      <w:pPr>
        <w:autoSpaceDE w:val="0"/>
        <w:autoSpaceDN w:val="0"/>
        <w:adjustRightInd w:val="0"/>
        <w:ind w:firstLineChars="300" w:firstLine="57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kern w:val="0"/>
          <w:sz w:val="18"/>
          <w:szCs w:val="18"/>
        </w:rPr>
        <w:t>d</w:t>
      </w:r>
      <w:r w:rsidRPr="008377C1">
        <w:rPr>
          <w:rFonts w:ascii="ＭＳ ゴシック" w:eastAsia="ＭＳ ゴシック" w:hAnsi="ＭＳ ゴシック" w:cs="MS-PMincho" w:hint="eastAsia"/>
          <w:kern w:val="0"/>
          <w:sz w:val="18"/>
          <w:szCs w:val="18"/>
        </w:rPr>
        <w:t>．永続的または顕著な障害・機能不全に陥るもの</w:t>
      </w:r>
    </w:p>
    <w:p w14:paraId="00B4D0F1" w14:textId="77777777" w:rsidR="00894F25" w:rsidRPr="008377C1" w:rsidRDefault="00894F25" w:rsidP="00894F25">
      <w:pPr>
        <w:autoSpaceDE w:val="0"/>
        <w:autoSpaceDN w:val="0"/>
        <w:adjustRightInd w:val="0"/>
        <w:ind w:firstLineChars="300" w:firstLine="57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kern w:val="0"/>
          <w:sz w:val="18"/>
          <w:szCs w:val="18"/>
        </w:rPr>
        <w:t>e</w:t>
      </w:r>
      <w:r w:rsidRPr="008377C1">
        <w:rPr>
          <w:rFonts w:ascii="ＭＳ ゴシック" w:eastAsia="ＭＳ ゴシック" w:hAnsi="ＭＳ ゴシック" w:cs="MS-PMincho" w:hint="eastAsia"/>
          <w:kern w:val="0"/>
          <w:sz w:val="18"/>
          <w:szCs w:val="18"/>
        </w:rPr>
        <w:t>．先天異常を来すもの</w:t>
      </w:r>
    </w:p>
    <w:p w14:paraId="33C0515E" w14:textId="77777777" w:rsidR="00894F25" w:rsidRPr="008377C1" w:rsidRDefault="00894F25" w:rsidP="001F15AB">
      <w:pPr>
        <w:autoSpaceDE w:val="0"/>
        <w:autoSpaceDN w:val="0"/>
        <w:adjustRightInd w:val="0"/>
        <w:ind w:leftChars="173" w:left="384" w:firstLineChars="50" w:firstLine="9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この他、特定の疾患領域において、国際的に標準化されている有害事象評価規準等がある場合においては、臨床研究計画書に記載した上で、その基準を参考として運用することも考えられます。</w:t>
      </w:r>
    </w:p>
    <w:p w14:paraId="73FE563E" w14:textId="77777777" w:rsidR="00894F25" w:rsidRPr="008377C1" w:rsidRDefault="00894F25" w:rsidP="00894F25">
      <w:pPr>
        <w:autoSpaceDE w:val="0"/>
        <w:autoSpaceDN w:val="0"/>
        <w:adjustRightInd w:val="0"/>
        <w:ind w:left="1" w:firstLineChars="200" w:firstLine="384"/>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重篤度の評価においては、以上の考え方が参考になると考えられます。</w:t>
      </w:r>
    </w:p>
    <w:p w14:paraId="7F3F7EB8" w14:textId="77777777" w:rsidR="00894F25" w:rsidRPr="008377C1" w:rsidRDefault="00894F25" w:rsidP="00894F25">
      <w:pPr>
        <w:autoSpaceDE w:val="0"/>
        <w:autoSpaceDN w:val="0"/>
        <w:adjustRightInd w:val="0"/>
        <w:ind w:firstLineChars="100" w:firstLine="193"/>
        <w:jc w:val="left"/>
        <w:rPr>
          <w:rFonts w:ascii="ＭＳ ゴシック" w:eastAsia="ＭＳ ゴシック" w:hAnsi="ＭＳ ゴシック" w:cs="MS-PMincho"/>
          <w:b/>
          <w:kern w:val="0"/>
          <w:sz w:val="18"/>
          <w:szCs w:val="18"/>
        </w:rPr>
      </w:pPr>
      <w:r w:rsidRPr="008377C1">
        <w:rPr>
          <w:rFonts w:ascii="ＭＳ ゴシック" w:eastAsia="ＭＳ ゴシック" w:hAnsi="ＭＳ ゴシック" w:cs="MS-PMincho" w:hint="eastAsia"/>
          <w:b/>
          <w:kern w:val="0"/>
          <w:sz w:val="18"/>
          <w:szCs w:val="18"/>
        </w:rPr>
        <w:t>②予期しない重篤な有害事象の考え方</w:t>
      </w:r>
    </w:p>
    <w:p w14:paraId="41ED5A8B" w14:textId="77777777" w:rsidR="00894F25" w:rsidRPr="008377C1" w:rsidRDefault="00894F25" w:rsidP="001F15AB">
      <w:pPr>
        <w:autoSpaceDE w:val="0"/>
        <w:autoSpaceDN w:val="0"/>
        <w:adjustRightInd w:val="0"/>
        <w:ind w:firstLineChars="300" w:firstLine="57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kern w:val="0"/>
          <w:sz w:val="18"/>
          <w:szCs w:val="18"/>
        </w:rPr>
        <w:t>ICH</w:t>
      </w:r>
      <w:r w:rsidRPr="008377C1">
        <w:rPr>
          <w:rFonts w:ascii="ＭＳ ゴシック" w:eastAsia="ＭＳ ゴシック" w:hAnsi="ＭＳ ゴシック" w:cs="MS-PMincho" w:hint="eastAsia"/>
          <w:kern w:val="0"/>
          <w:sz w:val="18"/>
          <w:szCs w:val="18"/>
        </w:rPr>
        <w:t>のガイドラインにおいては、次のように定義されており、この考え方が参考になると考えられます。</w:t>
      </w:r>
    </w:p>
    <w:p w14:paraId="49B77085" w14:textId="77777777" w:rsidR="001F15AB" w:rsidRPr="008377C1" w:rsidRDefault="001F15AB" w:rsidP="001F15AB">
      <w:pPr>
        <w:autoSpaceDE w:val="0"/>
        <w:autoSpaceDN w:val="0"/>
        <w:adjustRightInd w:val="0"/>
        <w:spacing w:line="80" w:lineRule="exact"/>
        <w:ind w:firstLineChars="200" w:firstLine="384"/>
        <w:jc w:val="left"/>
        <w:rPr>
          <w:rFonts w:ascii="ＭＳ ゴシック" w:eastAsia="ＭＳ ゴシック" w:hAnsi="ＭＳ ゴシック" w:cs="MS-PMincho"/>
          <w:kern w:val="0"/>
          <w:sz w:val="18"/>
          <w:szCs w:val="18"/>
        </w:rPr>
      </w:pPr>
    </w:p>
    <w:p w14:paraId="1D6478FB" w14:textId="77777777" w:rsidR="00894F25" w:rsidRPr="008377C1" w:rsidRDefault="00894F25" w:rsidP="00894F25">
      <w:pPr>
        <w:autoSpaceDE w:val="0"/>
        <w:autoSpaceDN w:val="0"/>
        <w:adjustRightInd w:val="0"/>
        <w:ind w:leftChars="173" w:left="384"/>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予測できない」副作用とは、副作用のうち、治験薬概要書に記載されていないもの、または記載されていてもその性質や重症度が記載内容と一致しないものを言う。ある有害事象または副作用が予測できるか否かの判断は、次のような資料または状況に基づいて行われる。</w:t>
      </w:r>
    </w:p>
    <w:p w14:paraId="328206C8" w14:textId="77777777" w:rsidR="00894F25" w:rsidRPr="008377C1" w:rsidRDefault="00894F25" w:rsidP="00894F25">
      <w:pPr>
        <w:autoSpaceDE w:val="0"/>
        <w:autoSpaceDN w:val="0"/>
        <w:adjustRightInd w:val="0"/>
        <w:ind w:leftChars="260" w:left="769" w:hangingChars="100" w:hanging="192"/>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Gothic" w:hint="eastAsia"/>
          <w:kern w:val="0"/>
          <w:sz w:val="18"/>
          <w:szCs w:val="18"/>
        </w:rPr>
        <w:t>・</w:t>
      </w:r>
      <w:r w:rsidRPr="008377C1">
        <w:rPr>
          <w:rFonts w:ascii="ＭＳ ゴシック" w:eastAsia="ＭＳ ゴシック" w:hAnsi="ＭＳ ゴシック" w:cs="MS-Gothic"/>
          <w:kern w:val="0"/>
          <w:sz w:val="18"/>
          <w:szCs w:val="18"/>
        </w:rPr>
        <w:t xml:space="preserve"> </w:t>
      </w:r>
      <w:r w:rsidRPr="008377C1">
        <w:rPr>
          <w:rFonts w:ascii="ＭＳ ゴシック" w:eastAsia="ＭＳ ゴシック" w:hAnsi="ＭＳ ゴシック" w:cs="MS-PMincho" w:hint="eastAsia"/>
          <w:kern w:val="0"/>
          <w:sz w:val="18"/>
          <w:szCs w:val="18"/>
        </w:rPr>
        <w:t>世界中のいかなる国においても市販されていない医薬品については、治験薬概要書が基本的な資料となる。</w:t>
      </w:r>
    </w:p>
    <w:p w14:paraId="414AF914" w14:textId="77777777" w:rsidR="00894F25" w:rsidRPr="008377C1" w:rsidRDefault="00894F25" w:rsidP="001F15AB">
      <w:pPr>
        <w:numPr>
          <w:ilvl w:val="0"/>
          <w:numId w:val="2"/>
        </w:numPr>
        <w:autoSpaceDE w:val="0"/>
        <w:autoSpaceDN w:val="0"/>
        <w:adjustRightInd w:val="0"/>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既知で治験薬概要にも記載されている重篤な副作用でも、その特殊性や重症度に関して必要な情報が加わるような報告は予測できない事象とみなす。例えば、治験薬概要書に記載されている以上に特定されている（限定的）か，または重症である事象は予測できないものと考える。例えば、急性腎不全に対する間質性腎炎の追加報告や、肝炎に対する劇症肝炎の追加などである。」</w:t>
      </w:r>
    </w:p>
    <w:p w14:paraId="7442469C" w14:textId="77777777" w:rsidR="001F15AB" w:rsidRPr="008377C1" w:rsidRDefault="001F15AB" w:rsidP="001F15AB">
      <w:pPr>
        <w:autoSpaceDE w:val="0"/>
        <w:autoSpaceDN w:val="0"/>
        <w:adjustRightInd w:val="0"/>
        <w:spacing w:line="80" w:lineRule="exact"/>
        <w:jc w:val="left"/>
        <w:rPr>
          <w:rFonts w:ascii="ＭＳ ゴシック" w:eastAsia="ＭＳ ゴシック" w:hAnsi="ＭＳ ゴシック" w:cs="MS-PMincho"/>
          <w:kern w:val="0"/>
          <w:sz w:val="18"/>
          <w:szCs w:val="18"/>
        </w:rPr>
      </w:pPr>
    </w:p>
    <w:p w14:paraId="2D9BC06A" w14:textId="77777777" w:rsidR="00DB02F8" w:rsidRPr="008377C1" w:rsidRDefault="00894F25" w:rsidP="001F15AB">
      <w:pPr>
        <w:autoSpaceDE w:val="0"/>
        <w:autoSpaceDN w:val="0"/>
        <w:adjustRightInd w:val="0"/>
        <w:ind w:leftChars="173" w:left="384" w:firstLineChars="50" w:firstLine="96"/>
        <w:jc w:val="left"/>
        <w:rPr>
          <w:rFonts w:ascii="ＭＳ ゴシック" w:eastAsia="ＭＳ ゴシック" w:hAnsi="ＭＳ ゴシック" w:cs="MS-PMincho"/>
          <w:kern w:val="0"/>
          <w:sz w:val="18"/>
          <w:szCs w:val="18"/>
        </w:rPr>
      </w:pPr>
      <w:r w:rsidRPr="008377C1">
        <w:rPr>
          <w:rFonts w:ascii="ＭＳ ゴシック" w:eastAsia="ＭＳ ゴシック" w:hAnsi="ＭＳ ゴシック" w:cs="MS-PMincho" w:hint="eastAsia"/>
          <w:kern w:val="0"/>
          <w:sz w:val="18"/>
          <w:szCs w:val="18"/>
        </w:rPr>
        <w:t>既承認の医薬品等に係わる臨床研究の場合は、治験薬等概要書の代わりに、添付文書等の情報を参考にすることができると考えられます。また、その他の手術手技・放射線治療等に係わる臨床研究で治験薬等概要書・添付文書に相当するものが存在しない場合には、危険及び必然的に伴う心身に対する不快な状態として臨床研究計画書に記載された情報に基づき判断することになると考えられます（第</w:t>
      </w:r>
      <w:r w:rsidRPr="008377C1">
        <w:rPr>
          <w:rFonts w:ascii="ＭＳ ゴシック" w:eastAsia="ＭＳ ゴシック" w:hAnsi="ＭＳ ゴシック"/>
          <w:kern w:val="0"/>
          <w:sz w:val="18"/>
          <w:szCs w:val="18"/>
        </w:rPr>
        <w:t>2(1)</w:t>
      </w:r>
      <w:r w:rsidRPr="008377C1">
        <w:rPr>
          <w:rFonts w:ascii="ＭＳ ゴシック" w:eastAsia="ＭＳ ゴシック" w:hAnsi="ＭＳ ゴシック" w:cs="MS-PMincho" w:hint="eastAsia"/>
          <w:kern w:val="0"/>
          <w:sz w:val="18"/>
          <w:szCs w:val="18"/>
        </w:rPr>
        <w:t>＜細則＞ロ参照）。</w:t>
      </w:r>
    </w:p>
    <w:p w14:paraId="4B317228" w14:textId="77777777" w:rsidR="00DB02F8" w:rsidRPr="008377C1" w:rsidRDefault="00DB02F8" w:rsidP="00DB02F8">
      <w:pPr>
        <w:rPr>
          <w:rFonts w:ascii="ＭＳ ゴシック" w:eastAsia="ＭＳ ゴシック" w:hAnsi="ＭＳ ゴシック"/>
        </w:rPr>
      </w:pPr>
    </w:p>
    <w:sectPr w:rsidR="00DB02F8" w:rsidRPr="008377C1" w:rsidSect="00EB35FB">
      <w:type w:val="continuous"/>
      <w:pgSz w:w="11906" w:h="16838" w:code="9"/>
      <w:pgMar w:top="966" w:right="1028" w:bottom="1134" w:left="1134" w:header="0" w:footer="567" w:gutter="0"/>
      <w:cols w:space="720"/>
      <w:noEndnote/>
      <w:docGrid w:type="linesAndChars" w:linePitch="323"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CDADB" w14:textId="77777777" w:rsidR="001C2D88" w:rsidRDefault="001C2D88" w:rsidP="005B114A">
      <w:r>
        <w:separator/>
      </w:r>
    </w:p>
  </w:endnote>
  <w:endnote w:type="continuationSeparator" w:id="0">
    <w:p w14:paraId="60BD15D9" w14:textId="77777777" w:rsidR="001C2D88" w:rsidRDefault="001C2D88" w:rsidP="005B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5A05C" w14:textId="77777777" w:rsidR="001C2D88" w:rsidRDefault="001C2D88" w:rsidP="005B114A">
      <w:r>
        <w:separator/>
      </w:r>
    </w:p>
  </w:footnote>
  <w:footnote w:type="continuationSeparator" w:id="0">
    <w:p w14:paraId="071501F2" w14:textId="77777777" w:rsidR="001C2D88" w:rsidRDefault="001C2D88" w:rsidP="005B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558A"/>
    <w:multiLevelType w:val="hybridMultilevel"/>
    <w:tmpl w:val="DE40DCA2"/>
    <w:lvl w:ilvl="0" w:tplc="E14815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775701"/>
    <w:multiLevelType w:val="hybridMultilevel"/>
    <w:tmpl w:val="81E6C156"/>
    <w:lvl w:ilvl="0" w:tplc="4EE638C0">
      <w:start w:val="2"/>
      <w:numFmt w:val="bullet"/>
      <w:lvlText w:val="・"/>
      <w:lvlJc w:val="left"/>
      <w:pPr>
        <w:tabs>
          <w:tab w:val="num" w:pos="937"/>
        </w:tabs>
        <w:ind w:left="937" w:hanging="360"/>
      </w:pPr>
      <w:rPr>
        <w:rFonts w:ascii="ＭＳ 明朝" w:eastAsia="ＭＳ 明朝" w:hAnsi="ＭＳ 明朝" w:cs="MS-Gothic" w:hint="eastAsia"/>
      </w:rPr>
    </w:lvl>
    <w:lvl w:ilvl="1" w:tplc="0409000B" w:tentative="1">
      <w:start w:val="1"/>
      <w:numFmt w:val="bullet"/>
      <w:lvlText w:val=""/>
      <w:lvlJc w:val="left"/>
      <w:pPr>
        <w:tabs>
          <w:tab w:val="num" w:pos="1417"/>
        </w:tabs>
        <w:ind w:left="1417" w:hanging="420"/>
      </w:pPr>
      <w:rPr>
        <w:rFonts w:ascii="Wingdings" w:hAnsi="Wingdings" w:hint="default"/>
      </w:rPr>
    </w:lvl>
    <w:lvl w:ilvl="2" w:tplc="0409000D" w:tentative="1">
      <w:start w:val="1"/>
      <w:numFmt w:val="bullet"/>
      <w:lvlText w:val=""/>
      <w:lvlJc w:val="left"/>
      <w:pPr>
        <w:tabs>
          <w:tab w:val="num" w:pos="1837"/>
        </w:tabs>
        <w:ind w:left="1837" w:hanging="420"/>
      </w:pPr>
      <w:rPr>
        <w:rFonts w:ascii="Wingdings" w:hAnsi="Wingdings" w:hint="default"/>
      </w:rPr>
    </w:lvl>
    <w:lvl w:ilvl="3" w:tplc="04090001" w:tentative="1">
      <w:start w:val="1"/>
      <w:numFmt w:val="bullet"/>
      <w:lvlText w:val=""/>
      <w:lvlJc w:val="left"/>
      <w:pPr>
        <w:tabs>
          <w:tab w:val="num" w:pos="2257"/>
        </w:tabs>
        <w:ind w:left="2257" w:hanging="420"/>
      </w:pPr>
      <w:rPr>
        <w:rFonts w:ascii="Wingdings" w:hAnsi="Wingdings" w:hint="default"/>
      </w:rPr>
    </w:lvl>
    <w:lvl w:ilvl="4" w:tplc="0409000B" w:tentative="1">
      <w:start w:val="1"/>
      <w:numFmt w:val="bullet"/>
      <w:lvlText w:val=""/>
      <w:lvlJc w:val="left"/>
      <w:pPr>
        <w:tabs>
          <w:tab w:val="num" w:pos="2677"/>
        </w:tabs>
        <w:ind w:left="2677" w:hanging="420"/>
      </w:pPr>
      <w:rPr>
        <w:rFonts w:ascii="Wingdings" w:hAnsi="Wingdings" w:hint="default"/>
      </w:rPr>
    </w:lvl>
    <w:lvl w:ilvl="5" w:tplc="0409000D" w:tentative="1">
      <w:start w:val="1"/>
      <w:numFmt w:val="bullet"/>
      <w:lvlText w:val=""/>
      <w:lvlJc w:val="left"/>
      <w:pPr>
        <w:tabs>
          <w:tab w:val="num" w:pos="3097"/>
        </w:tabs>
        <w:ind w:left="3097" w:hanging="420"/>
      </w:pPr>
      <w:rPr>
        <w:rFonts w:ascii="Wingdings" w:hAnsi="Wingdings" w:hint="default"/>
      </w:rPr>
    </w:lvl>
    <w:lvl w:ilvl="6" w:tplc="04090001" w:tentative="1">
      <w:start w:val="1"/>
      <w:numFmt w:val="bullet"/>
      <w:lvlText w:val=""/>
      <w:lvlJc w:val="left"/>
      <w:pPr>
        <w:tabs>
          <w:tab w:val="num" w:pos="3517"/>
        </w:tabs>
        <w:ind w:left="3517" w:hanging="420"/>
      </w:pPr>
      <w:rPr>
        <w:rFonts w:ascii="Wingdings" w:hAnsi="Wingdings" w:hint="default"/>
      </w:rPr>
    </w:lvl>
    <w:lvl w:ilvl="7" w:tplc="0409000B" w:tentative="1">
      <w:start w:val="1"/>
      <w:numFmt w:val="bullet"/>
      <w:lvlText w:val=""/>
      <w:lvlJc w:val="left"/>
      <w:pPr>
        <w:tabs>
          <w:tab w:val="num" w:pos="3937"/>
        </w:tabs>
        <w:ind w:left="3937" w:hanging="420"/>
      </w:pPr>
      <w:rPr>
        <w:rFonts w:ascii="Wingdings" w:hAnsi="Wingdings" w:hint="default"/>
      </w:rPr>
    </w:lvl>
    <w:lvl w:ilvl="8" w:tplc="0409000D" w:tentative="1">
      <w:start w:val="1"/>
      <w:numFmt w:val="bullet"/>
      <w:lvlText w:val=""/>
      <w:lvlJc w:val="left"/>
      <w:pPr>
        <w:tabs>
          <w:tab w:val="num" w:pos="4357"/>
        </w:tabs>
        <w:ind w:left="435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1"/>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0B9"/>
    <w:rsid w:val="001C2D88"/>
    <w:rsid w:val="001F15AB"/>
    <w:rsid w:val="002D1883"/>
    <w:rsid w:val="003400C4"/>
    <w:rsid w:val="003410B9"/>
    <w:rsid w:val="003A0455"/>
    <w:rsid w:val="0046472A"/>
    <w:rsid w:val="005B114A"/>
    <w:rsid w:val="0065794F"/>
    <w:rsid w:val="00664AC5"/>
    <w:rsid w:val="00750483"/>
    <w:rsid w:val="008377C1"/>
    <w:rsid w:val="00894F25"/>
    <w:rsid w:val="00935E2A"/>
    <w:rsid w:val="00973040"/>
    <w:rsid w:val="009F4DA3"/>
    <w:rsid w:val="00C42FCE"/>
    <w:rsid w:val="00C92D35"/>
    <w:rsid w:val="00D40FE8"/>
    <w:rsid w:val="00D7169C"/>
    <w:rsid w:val="00DB02F8"/>
    <w:rsid w:val="00EA551A"/>
    <w:rsid w:val="00EB35FB"/>
    <w:rsid w:val="00FE2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7BA29F"/>
  <w15:chartTrackingRefBased/>
  <w15:docId w15:val="{963A0909-071F-424B-8DBC-9AC24465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D1883"/>
    <w:rPr>
      <w:rFonts w:ascii="游ゴシック Light" w:eastAsia="游ゴシック Light" w:hAnsi="游ゴシック Light"/>
      <w:sz w:val="18"/>
      <w:szCs w:val="18"/>
    </w:rPr>
  </w:style>
  <w:style w:type="character" w:customStyle="1" w:styleId="a4">
    <w:name w:val="吹き出し (文字)"/>
    <w:link w:val="a3"/>
    <w:rsid w:val="002D1883"/>
    <w:rPr>
      <w:rFonts w:ascii="游ゴシック Light" w:eastAsia="游ゴシック Light" w:hAnsi="游ゴシック Light" w:cs="Times New Roman"/>
      <w:kern w:val="2"/>
      <w:sz w:val="18"/>
      <w:szCs w:val="18"/>
    </w:rPr>
  </w:style>
  <w:style w:type="character" w:styleId="a5">
    <w:name w:val="annotation reference"/>
    <w:rsid w:val="002D1883"/>
    <w:rPr>
      <w:sz w:val="18"/>
      <w:szCs w:val="18"/>
    </w:rPr>
  </w:style>
  <w:style w:type="paragraph" w:styleId="a6">
    <w:name w:val="annotation text"/>
    <w:basedOn w:val="a"/>
    <w:link w:val="a7"/>
    <w:rsid w:val="002D1883"/>
    <w:pPr>
      <w:jc w:val="left"/>
    </w:pPr>
    <w:rPr>
      <w:rFonts w:ascii="Times" w:eastAsia="平成明朝" w:hAnsi="Times"/>
      <w:sz w:val="24"/>
      <w:szCs w:val="20"/>
    </w:rPr>
  </w:style>
  <w:style w:type="character" w:customStyle="1" w:styleId="a7">
    <w:name w:val="コメント文字列 (文字)"/>
    <w:link w:val="a6"/>
    <w:rsid w:val="002D1883"/>
    <w:rPr>
      <w:rFonts w:ascii="Times" w:eastAsia="平成明朝" w:hAnsi="Times"/>
      <w:kern w:val="2"/>
      <w:sz w:val="24"/>
    </w:rPr>
  </w:style>
  <w:style w:type="paragraph" w:styleId="a8">
    <w:name w:val="header"/>
    <w:basedOn w:val="a"/>
    <w:link w:val="a9"/>
    <w:rsid w:val="005B114A"/>
    <w:pPr>
      <w:tabs>
        <w:tab w:val="center" w:pos="4252"/>
        <w:tab w:val="right" w:pos="8504"/>
      </w:tabs>
      <w:snapToGrid w:val="0"/>
    </w:pPr>
  </w:style>
  <w:style w:type="character" w:customStyle="1" w:styleId="a9">
    <w:name w:val="ヘッダー (文字)"/>
    <w:link w:val="a8"/>
    <w:rsid w:val="005B114A"/>
    <w:rPr>
      <w:kern w:val="2"/>
      <w:sz w:val="21"/>
      <w:szCs w:val="24"/>
    </w:rPr>
  </w:style>
  <w:style w:type="paragraph" w:styleId="aa">
    <w:name w:val="footer"/>
    <w:basedOn w:val="a"/>
    <w:link w:val="ab"/>
    <w:rsid w:val="005B114A"/>
    <w:pPr>
      <w:tabs>
        <w:tab w:val="center" w:pos="4252"/>
        <w:tab w:val="right" w:pos="8504"/>
      </w:tabs>
      <w:snapToGrid w:val="0"/>
    </w:pPr>
  </w:style>
  <w:style w:type="character" w:customStyle="1" w:styleId="ab">
    <w:name w:val="フッター (文字)"/>
    <w:link w:val="aa"/>
    <w:rsid w:val="005B114A"/>
    <w:rPr>
      <w:kern w:val="2"/>
      <w:sz w:val="21"/>
      <w:szCs w:val="24"/>
    </w:rPr>
  </w:style>
  <w:style w:type="paragraph" w:styleId="ac">
    <w:name w:val="annotation subject"/>
    <w:basedOn w:val="a6"/>
    <w:next w:val="a6"/>
    <w:link w:val="ad"/>
    <w:rsid w:val="00D7169C"/>
    <w:rPr>
      <w:rFonts w:ascii="Century" w:eastAsia="ＭＳ 明朝" w:hAnsi="Century"/>
      <w:b/>
      <w:bCs/>
      <w:sz w:val="21"/>
      <w:szCs w:val="24"/>
    </w:rPr>
  </w:style>
  <w:style w:type="character" w:customStyle="1" w:styleId="ad">
    <w:name w:val="コメント内容 (文字)"/>
    <w:link w:val="ac"/>
    <w:rsid w:val="00D7169C"/>
    <w:rPr>
      <w:rFonts w:ascii="Times" w:eastAsia="平成明朝" w:hAnsi="Times"/>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様式６</vt:lpstr>
      <vt:lpstr>様式６</vt:lpstr>
    </vt:vector>
  </TitlesOfParts>
  <Company>東京大学薬学部</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dc:title>
  <dc:subject/>
  <dc:creator>会計係</dc:creator>
  <cp:keywords/>
  <dc:description/>
  <cp:lastModifiedBy>金子　詩歩</cp:lastModifiedBy>
  <cp:revision>5</cp:revision>
  <dcterms:created xsi:type="dcterms:W3CDTF">2021-06-29T05:02:00Z</dcterms:created>
  <dcterms:modified xsi:type="dcterms:W3CDTF">2021-07-14T08:02:00Z</dcterms:modified>
</cp:coreProperties>
</file>